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LANGUAGE</w:t>
      </w:r>
      <w:r>
        <w:rPr>
          <w:spacing w:val="-1"/>
        </w:rPr>
        <w:t> </w:t>
      </w:r>
      <w:r>
        <w:rPr/>
        <w:t>FOR A DEED</w:t>
      </w:r>
      <w:r>
        <w:rPr>
          <w:spacing w:val="-1"/>
        </w:rPr>
        <w:t> </w:t>
      </w:r>
      <w:r>
        <w:rPr/>
        <w:t>IN LIEU</w:t>
      </w:r>
      <w:r>
        <w:rPr>
          <w:spacing w:val="-1"/>
        </w:rPr>
        <w:t> </w:t>
      </w:r>
      <w:r>
        <w:rPr/>
        <w:t>OF </w:t>
      </w:r>
      <w:r>
        <w:rPr>
          <w:spacing w:val="-2"/>
        </w:rPr>
        <w:t>FORECLOSURE</w:t>
      </w:r>
    </w:p>
    <w:p>
      <w:pPr>
        <w:pStyle w:val="BodyText"/>
        <w:spacing w:before="273"/>
        <w:rPr>
          <w:b/>
        </w:rPr>
      </w:pPr>
    </w:p>
    <w:p>
      <w:pPr>
        <w:pStyle w:val="BodyText"/>
        <w:ind w:right="27"/>
      </w:pPr>
      <w:r>
        <w:rPr/>
        <w:t>Add the following language to the deed in lieu of foreclosure (in the extra space below the legal description or on an attached page). If monetary consideration is being given in addition to the satisfaction</w:t>
      </w:r>
      <w:r>
        <w:rPr>
          <w:spacing w:val="-5"/>
        </w:rPr>
        <w:t> </w:t>
      </w:r>
      <w:r>
        <w:rPr/>
        <w:t>of</w:t>
      </w:r>
      <w:r>
        <w:rPr>
          <w:spacing w:val="-3"/>
        </w:rPr>
        <w:t> </w:t>
      </w:r>
      <w:r>
        <w:rPr/>
        <w:t>the</w:t>
      </w:r>
      <w:r>
        <w:rPr>
          <w:spacing w:val="-3"/>
        </w:rPr>
        <w:t> </w:t>
      </w:r>
      <w:r>
        <w:rPr/>
        <w:t>indebtedness</w:t>
      </w:r>
      <w:r>
        <w:rPr>
          <w:spacing w:val="-3"/>
        </w:rPr>
        <w:t> </w:t>
      </w:r>
      <w:r>
        <w:rPr/>
        <w:t>secured</w:t>
      </w:r>
      <w:r>
        <w:rPr>
          <w:spacing w:val="-3"/>
        </w:rPr>
        <w:t> </w:t>
      </w:r>
      <w:r>
        <w:rPr/>
        <w:t>by</w:t>
      </w:r>
      <w:r>
        <w:rPr>
          <w:spacing w:val="-3"/>
        </w:rPr>
        <w:t> </w:t>
      </w:r>
      <w:r>
        <w:rPr/>
        <w:t>the</w:t>
      </w:r>
      <w:r>
        <w:rPr>
          <w:spacing w:val="-3"/>
        </w:rPr>
        <w:t> </w:t>
      </w:r>
      <w:r>
        <w:rPr/>
        <w:t>encumbrance,</w:t>
      </w:r>
      <w:r>
        <w:rPr>
          <w:spacing w:val="-3"/>
        </w:rPr>
        <w:t> </w:t>
      </w:r>
      <w:r>
        <w:rPr/>
        <w:t>the</w:t>
      </w:r>
      <w:r>
        <w:rPr>
          <w:spacing w:val="-3"/>
        </w:rPr>
        <w:t> </w:t>
      </w:r>
      <w:r>
        <w:rPr/>
        <w:t>amount</w:t>
      </w:r>
      <w:r>
        <w:rPr>
          <w:spacing w:val="-3"/>
        </w:rPr>
        <w:t> </w:t>
      </w:r>
      <w:r>
        <w:rPr/>
        <w:t>received</w:t>
      </w:r>
      <w:r>
        <w:rPr>
          <w:spacing w:val="-3"/>
        </w:rPr>
        <w:t> </w:t>
      </w:r>
      <w:r>
        <w:rPr/>
        <w:t>by</w:t>
      </w:r>
      <w:r>
        <w:rPr>
          <w:spacing w:val="-4"/>
        </w:rPr>
        <w:t> </w:t>
      </w:r>
      <w:r>
        <w:rPr/>
        <w:t>the</w:t>
      </w:r>
      <w:r>
        <w:rPr>
          <w:spacing w:val="-3"/>
        </w:rPr>
        <w:t> </w:t>
      </w:r>
      <w:r>
        <w:rPr/>
        <w:t>grantor should be set forth in the deed.</w:t>
      </w:r>
    </w:p>
    <w:p>
      <w:pPr>
        <w:pStyle w:val="BodyText"/>
      </w:pPr>
    </w:p>
    <w:p>
      <w:pPr>
        <w:pStyle w:val="BodyText"/>
      </w:pPr>
    </w:p>
    <w:p>
      <w:pPr>
        <w:pStyle w:val="BodyText"/>
        <w:spacing w:before="1"/>
      </w:pPr>
    </w:p>
    <w:p>
      <w:pPr>
        <w:pStyle w:val="BodyText"/>
        <w:ind w:right="27"/>
      </w:pPr>
      <w:r>
        <w:rPr/>
        <w:t>This</w:t>
      </w:r>
      <w:r>
        <w:rPr>
          <w:spacing w:val="-3"/>
        </w:rPr>
        <w:t> </w:t>
      </w:r>
      <w:r>
        <w:rPr/>
        <w:t>deed</w:t>
      </w:r>
      <w:r>
        <w:rPr>
          <w:spacing w:val="-3"/>
        </w:rPr>
        <w:t> </w:t>
      </w:r>
      <w:r>
        <w:rPr/>
        <w:t>is</w:t>
      </w:r>
      <w:r>
        <w:rPr>
          <w:spacing w:val="-4"/>
        </w:rPr>
        <w:t> </w:t>
      </w:r>
      <w:r>
        <w:rPr/>
        <w:t>an</w:t>
      </w:r>
      <w:r>
        <w:rPr>
          <w:spacing w:val="-3"/>
        </w:rPr>
        <w:t> </w:t>
      </w:r>
      <w:r>
        <w:rPr/>
        <w:t>absolute</w:t>
      </w:r>
      <w:r>
        <w:rPr>
          <w:spacing w:val="-3"/>
        </w:rPr>
        <w:t> </w:t>
      </w:r>
      <w:r>
        <w:rPr/>
        <w:t>conveyance</w:t>
      </w:r>
      <w:r>
        <w:rPr>
          <w:spacing w:val="-3"/>
        </w:rPr>
        <w:t> </w:t>
      </w:r>
      <w:r>
        <w:rPr/>
        <w:t>for</w:t>
      </w:r>
      <w:r>
        <w:rPr>
          <w:spacing w:val="-3"/>
        </w:rPr>
        <w:t> </w:t>
      </w:r>
      <w:r>
        <w:rPr/>
        <w:t>a</w:t>
      </w:r>
      <w:r>
        <w:rPr>
          <w:spacing w:val="-3"/>
        </w:rPr>
        <w:t> </w:t>
      </w:r>
      <w:r>
        <w:rPr/>
        <w:t>fair</w:t>
      </w:r>
      <w:r>
        <w:rPr>
          <w:spacing w:val="-3"/>
        </w:rPr>
        <w:t> </w:t>
      </w:r>
      <w:r>
        <w:rPr/>
        <w:t>and</w:t>
      </w:r>
      <w:r>
        <w:rPr>
          <w:spacing w:val="-3"/>
        </w:rPr>
        <w:t> </w:t>
      </w:r>
      <w:r>
        <w:rPr/>
        <w:t>adequate</w:t>
      </w:r>
      <w:r>
        <w:rPr>
          <w:spacing w:val="-4"/>
        </w:rPr>
        <w:t> </w:t>
      </w:r>
      <w:r>
        <w:rPr/>
        <w:t>consideration,</w:t>
      </w:r>
      <w:r>
        <w:rPr>
          <w:spacing w:val="-3"/>
        </w:rPr>
        <w:t> </w:t>
      </w:r>
      <w:r>
        <w:rPr/>
        <w:t>being</w:t>
      </w:r>
      <w:r>
        <w:rPr>
          <w:spacing w:val="-3"/>
        </w:rPr>
        <w:t> </w:t>
      </w:r>
      <w:r>
        <w:rPr/>
        <w:t>the</w:t>
      </w:r>
      <w:r>
        <w:rPr>
          <w:spacing w:val="-3"/>
        </w:rPr>
        <w:t> </w:t>
      </w:r>
      <w:r>
        <w:rPr/>
        <w:t>full satisfaction of all obligations secured by the deed of trust executed by</w:t>
      </w:r>
    </w:p>
    <w:p>
      <w:pPr>
        <w:pStyle w:val="BodyText"/>
        <w:tabs>
          <w:tab w:pos="3479" w:val="left" w:leader="none"/>
          <w:tab w:pos="4487" w:val="left" w:leader="none"/>
          <w:tab w:pos="4971" w:val="left" w:leader="none"/>
          <w:tab w:pos="8789" w:val="left" w:leader="none"/>
          <w:tab w:pos="9139" w:val="left" w:leader="none"/>
        </w:tabs>
        <w:ind w:right="27"/>
      </w:pPr>
      <w:r>
        <w:rPr>
          <w:u w:val="single"/>
        </w:rPr>
        <w:tab/>
      </w:r>
      <w:r>
        <w:rPr>
          <w:u w:val="none"/>
        </w:rPr>
        <w:t>, trustor, in favor of </w:t>
      </w:r>
      <w:r>
        <w:rPr>
          <w:u w:val="single"/>
        </w:rPr>
        <w:tab/>
        <w:tab/>
      </w:r>
      <w:r>
        <w:rPr>
          <w:spacing w:val="-10"/>
          <w:u w:val="none"/>
        </w:rPr>
        <w:t>, </w:t>
      </w:r>
      <w:r>
        <w:rPr>
          <w:u w:val="none"/>
        </w:rPr>
        <w:t>beneficiary, recorded on </w:t>
      </w:r>
      <w:r>
        <w:rPr>
          <w:u w:val="single"/>
        </w:rPr>
        <w:tab/>
        <w:tab/>
        <w:tab/>
      </w:r>
      <w:r>
        <w:rPr>
          <w:u w:val="none"/>
        </w:rPr>
        <w:t>as Instrument No. </w:t>
      </w:r>
      <w:r>
        <w:rPr>
          <w:u w:val="single"/>
        </w:rPr>
        <w:tab/>
      </w:r>
      <w:r>
        <w:rPr>
          <w:spacing w:val="-10"/>
          <w:u w:val="none"/>
        </w:rPr>
        <w:t>, </w:t>
      </w:r>
      <w:r>
        <w:rPr>
          <w:u w:val="none"/>
        </w:rPr>
        <w:t>Official Records of </w:t>
      </w:r>
      <w:r>
        <w:rPr>
          <w:u w:val="single"/>
        </w:rPr>
        <w:tab/>
        <w:tab/>
      </w:r>
      <w:r>
        <w:rPr>
          <w:u w:val="none"/>
        </w:rPr>
        <w:t>County,</w:t>
      </w:r>
      <w:r>
        <w:rPr>
          <w:spacing w:val="-6"/>
          <w:u w:val="none"/>
        </w:rPr>
        <w:t> </w:t>
      </w:r>
      <w:r>
        <w:rPr>
          <w:u w:val="none"/>
        </w:rPr>
        <w:t>California,</w:t>
      </w:r>
      <w:r>
        <w:rPr>
          <w:spacing w:val="-6"/>
          <w:u w:val="none"/>
        </w:rPr>
        <w:t> </w:t>
      </w:r>
      <w:r>
        <w:rPr>
          <w:u w:val="none"/>
        </w:rPr>
        <w:t>plus</w:t>
      </w:r>
      <w:r>
        <w:rPr>
          <w:spacing w:val="-7"/>
          <w:u w:val="none"/>
        </w:rPr>
        <w:t> </w:t>
      </w:r>
      <w:r>
        <w:rPr>
          <w:u w:val="none"/>
        </w:rPr>
        <w:t>the</w:t>
      </w:r>
      <w:r>
        <w:rPr>
          <w:spacing w:val="-6"/>
          <w:u w:val="none"/>
        </w:rPr>
        <w:t> </w:t>
      </w:r>
      <w:r>
        <w:rPr>
          <w:u w:val="none"/>
        </w:rPr>
        <w:t>additional</w:t>
      </w:r>
      <w:r>
        <w:rPr>
          <w:spacing w:val="-6"/>
          <w:u w:val="none"/>
        </w:rPr>
        <w:t> </w:t>
      </w:r>
      <w:r>
        <w:rPr>
          <w:u w:val="none"/>
        </w:rPr>
        <w:t>payment</w:t>
      </w:r>
      <w:r>
        <w:rPr>
          <w:spacing w:val="-6"/>
          <w:u w:val="none"/>
        </w:rPr>
        <w:t> </w:t>
      </w:r>
      <w:r>
        <w:rPr>
          <w:u w:val="none"/>
        </w:rPr>
        <w:t>of</w:t>
      </w:r>
    </w:p>
    <w:p>
      <w:pPr>
        <w:pStyle w:val="BodyText"/>
        <w:tabs>
          <w:tab w:pos="1799" w:val="left" w:leader="none"/>
        </w:tabs>
        <w:ind w:right="187"/>
      </w:pPr>
      <w:r>
        <w:rPr>
          <w:spacing w:val="-10"/>
        </w:rPr>
        <w:t>$</w:t>
      </w:r>
      <w:r>
        <w:rPr>
          <w:u w:val="single"/>
        </w:rPr>
        <w:tab/>
      </w:r>
      <w:r>
        <w:rPr>
          <w:u w:val="none"/>
        </w:rPr>
        <w:t>. Grantor declares that this conveyance is freely and fairly made, and that there are no agreements, oral or written, other than this deed between grantor and grantee with respect to the property conveyed by this deed. By accepting this deed, Grantee specifically intends</w:t>
      </w:r>
      <w:r>
        <w:rPr>
          <w:spacing w:val="-3"/>
          <w:u w:val="none"/>
        </w:rPr>
        <w:t> </w:t>
      </w:r>
      <w:r>
        <w:rPr>
          <w:u w:val="none"/>
        </w:rPr>
        <w:t>that</w:t>
      </w:r>
      <w:r>
        <w:rPr>
          <w:spacing w:val="-3"/>
          <w:u w:val="none"/>
        </w:rPr>
        <w:t> </w:t>
      </w:r>
      <w:r>
        <w:rPr>
          <w:u w:val="none"/>
        </w:rPr>
        <w:t>a</w:t>
      </w:r>
      <w:r>
        <w:rPr>
          <w:spacing w:val="-2"/>
          <w:u w:val="none"/>
        </w:rPr>
        <w:t> </w:t>
      </w:r>
      <w:r>
        <w:rPr>
          <w:u w:val="none"/>
        </w:rPr>
        <w:t>merger</w:t>
      </w:r>
      <w:r>
        <w:rPr>
          <w:spacing w:val="-2"/>
          <w:u w:val="none"/>
        </w:rPr>
        <w:t> </w:t>
      </w:r>
      <w:r>
        <w:rPr>
          <w:u w:val="none"/>
        </w:rPr>
        <w:t>of</w:t>
      </w:r>
      <w:r>
        <w:rPr>
          <w:spacing w:val="-2"/>
          <w:u w:val="none"/>
        </w:rPr>
        <w:t> </w:t>
      </w:r>
      <w:r>
        <w:rPr>
          <w:u w:val="none"/>
        </w:rPr>
        <w:t>title</w:t>
      </w:r>
      <w:r>
        <w:rPr>
          <w:spacing w:val="-2"/>
          <w:u w:val="none"/>
        </w:rPr>
        <w:t> </w:t>
      </w:r>
      <w:r>
        <w:rPr>
          <w:u w:val="none"/>
        </w:rPr>
        <w:t>shall </w:t>
      </w:r>
      <w:r>
        <w:rPr>
          <w:u w:val="single"/>
        </w:rPr>
        <w:t>not</w:t>
      </w:r>
      <w:r>
        <w:rPr>
          <w:spacing w:val="-2"/>
          <w:u w:val="none"/>
        </w:rPr>
        <w:t> </w:t>
      </w:r>
      <w:r>
        <w:rPr>
          <w:u w:val="none"/>
        </w:rPr>
        <w:t>occur</w:t>
      </w:r>
      <w:r>
        <w:rPr>
          <w:spacing w:val="-3"/>
          <w:u w:val="none"/>
        </w:rPr>
        <w:t> </w:t>
      </w:r>
      <w:r>
        <w:rPr>
          <w:u w:val="none"/>
        </w:rPr>
        <w:t>and</w:t>
      </w:r>
      <w:r>
        <w:rPr>
          <w:spacing w:val="-2"/>
          <w:u w:val="none"/>
        </w:rPr>
        <w:t> </w:t>
      </w:r>
      <w:r>
        <w:rPr>
          <w:u w:val="none"/>
        </w:rPr>
        <w:t>that</w:t>
      </w:r>
      <w:r>
        <w:rPr>
          <w:spacing w:val="-2"/>
          <w:u w:val="none"/>
        </w:rPr>
        <w:t> </w:t>
      </w:r>
      <w:r>
        <w:rPr>
          <w:u w:val="none"/>
        </w:rPr>
        <w:t>the</w:t>
      </w:r>
      <w:r>
        <w:rPr>
          <w:spacing w:val="-2"/>
          <w:u w:val="none"/>
        </w:rPr>
        <w:t> </w:t>
      </w:r>
      <w:r>
        <w:rPr>
          <w:u w:val="none"/>
        </w:rPr>
        <w:t>deed</w:t>
      </w:r>
      <w:r>
        <w:rPr>
          <w:spacing w:val="-3"/>
          <w:u w:val="none"/>
        </w:rPr>
        <w:t> </w:t>
      </w:r>
      <w:r>
        <w:rPr>
          <w:u w:val="none"/>
        </w:rPr>
        <w:t>of</w:t>
      </w:r>
      <w:r>
        <w:rPr>
          <w:spacing w:val="-2"/>
          <w:u w:val="none"/>
        </w:rPr>
        <w:t> </w:t>
      </w:r>
      <w:r>
        <w:rPr>
          <w:u w:val="none"/>
        </w:rPr>
        <w:t>trust</w:t>
      </w:r>
      <w:r>
        <w:rPr>
          <w:spacing w:val="-2"/>
          <w:u w:val="none"/>
        </w:rPr>
        <w:t> </w:t>
      </w:r>
      <w:r>
        <w:rPr>
          <w:u w:val="none"/>
        </w:rPr>
        <w:t>shall</w:t>
      </w:r>
      <w:r>
        <w:rPr>
          <w:spacing w:val="-2"/>
          <w:u w:val="none"/>
        </w:rPr>
        <w:t> </w:t>
      </w:r>
      <w:r>
        <w:rPr>
          <w:u w:val="none"/>
        </w:rPr>
        <w:t>continue</w:t>
      </w:r>
      <w:r>
        <w:rPr>
          <w:spacing w:val="-3"/>
          <w:u w:val="none"/>
        </w:rPr>
        <w:t> </w:t>
      </w:r>
      <w:r>
        <w:rPr>
          <w:u w:val="none"/>
        </w:rPr>
        <w:t>as</w:t>
      </w:r>
      <w:r>
        <w:rPr>
          <w:spacing w:val="-3"/>
          <w:u w:val="none"/>
        </w:rPr>
        <w:t> </w:t>
      </w:r>
      <w:r>
        <w:rPr>
          <w:u w:val="none"/>
        </w:rPr>
        <w:t>a</w:t>
      </w:r>
      <w:r>
        <w:rPr>
          <w:spacing w:val="-2"/>
          <w:u w:val="none"/>
        </w:rPr>
        <w:t> </w:t>
      </w:r>
      <w:r>
        <w:rPr>
          <w:u w:val="none"/>
        </w:rPr>
        <w:t>lien</w:t>
      </w:r>
      <w:r>
        <w:rPr>
          <w:spacing w:val="-2"/>
          <w:u w:val="none"/>
        </w:rPr>
        <w:t> </w:t>
      </w:r>
      <w:r>
        <w:rPr>
          <w:u w:val="none"/>
        </w:rPr>
        <w:t>on the property until it is reconveyed.</w:t>
      </w:r>
    </w:p>
    <w:p>
      <w:pPr>
        <w:pStyle w:val="BodyText"/>
      </w:pPr>
    </w:p>
    <w:p>
      <w:pPr>
        <w:pStyle w:val="BodyText"/>
        <w:ind w:right="79"/>
      </w:pPr>
      <w:r>
        <w:rPr/>
        <w:t>This</w:t>
      </w:r>
      <w:r>
        <w:rPr>
          <w:spacing w:val="-3"/>
        </w:rPr>
        <w:t> </w:t>
      </w:r>
      <w:r>
        <w:rPr/>
        <w:t>statement</w:t>
      </w:r>
      <w:r>
        <w:rPr>
          <w:spacing w:val="-3"/>
        </w:rPr>
        <w:t> </w:t>
      </w:r>
      <w:r>
        <w:rPr/>
        <w:t>is</w:t>
      </w:r>
      <w:r>
        <w:rPr>
          <w:spacing w:val="-3"/>
        </w:rPr>
        <w:t> </w:t>
      </w:r>
      <w:r>
        <w:rPr/>
        <w:t>made</w:t>
      </w:r>
      <w:r>
        <w:rPr>
          <w:spacing w:val="-3"/>
        </w:rPr>
        <w:t> </w:t>
      </w:r>
      <w:r>
        <w:rPr/>
        <w:t>for</w:t>
      </w:r>
      <w:r>
        <w:rPr>
          <w:spacing w:val="-3"/>
        </w:rPr>
        <w:t> </w:t>
      </w:r>
      <w:r>
        <w:rPr/>
        <w:t>the</w:t>
      </w:r>
      <w:r>
        <w:rPr>
          <w:spacing w:val="-3"/>
        </w:rPr>
        <w:t> </w:t>
      </w:r>
      <w:r>
        <w:rPr/>
        <w:t>protection</w:t>
      </w:r>
      <w:r>
        <w:rPr>
          <w:spacing w:val="-3"/>
        </w:rPr>
        <w:t> </w:t>
      </w:r>
      <w:r>
        <w:rPr/>
        <w:t>and</w:t>
      </w:r>
      <w:r>
        <w:rPr>
          <w:spacing w:val="-3"/>
        </w:rPr>
        <w:t> </w:t>
      </w:r>
      <w:r>
        <w:rPr/>
        <w:t>benefit</w:t>
      </w:r>
      <w:r>
        <w:rPr>
          <w:spacing w:val="-3"/>
        </w:rPr>
        <w:t> </w:t>
      </w:r>
      <w:r>
        <w:rPr/>
        <w:t>of</w:t>
      </w:r>
      <w:r>
        <w:rPr>
          <w:spacing w:val="-3"/>
        </w:rPr>
        <w:t> </w:t>
      </w:r>
      <w:r>
        <w:rPr/>
        <w:t>the</w:t>
      </w:r>
      <w:r>
        <w:rPr>
          <w:spacing w:val="-3"/>
        </w:rPr>
        <w:t> </w:t>
      </w:r>
      <w:r>
        <w:rPr/>
        <w:t>grantee,</w:t>
      </w:r>
      <w:r>
        <w:rPr>
          <w:spacing w:val="-5"/>
        </w:rPr>
        <w:t> </w:t>
      </w:r>
      <w:r>
        <w:rPr/>
        <w:t>the</w:t>
      </w:r>
      <w:r>
        <w:rPr>
          <w:spacing w:val="-3"/>
        </w:rPr>
        <w:t> </w:t>
      </w:r>
      <w:r>
        <w:rPr/>
        <w:t>grantee’s</w:t>
      </w:r>
      <w:r>
        <w:rPr>
          <w:spacing w:val="-3"/>
        </w:rPr>
        <w:t> </w:t>
      </w:r>
      <w:r>
        <w:rPr/>
        <w:t>successors</w:t>
      </w:r>
      <w:r>
        <w:rPr>
          <w:spacing w:val="-3"/>
        </w:rPr>
        <w:t> </w:t>
      </w:r>
      <w:r>
        <w:rPr/>
        <w:t>and assigns, and all other parties hereafter dealing with or who may acquire an interest in the property, and for the benefit of all title insurance companies that insure title to the property.</w:t>
      </w:r>
    </w:p>
    <w:sectPr>
      <w:type w:val="continuous"/>
      <w:pgSz w:w="12240" w:h="15840"/>
      <w:pgMar w:top="13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79"/>
      <w:ind w:right="1"/>
      <w:jc w:val="center"/>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LANGUAGE FOR A DEED IN LIEU OF FORECLOSURE</dc:title>
  <dcterms:created xsi:type="dcterms:W3CDTF">2026-09-08T22:27:01Z</dcterms:created>
  <dcterms:modified xsi:type="dcterms:W3CDTF">2026-09-08T22:27:01Z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